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63" w:rsidRDefault="006F4863" w:rsidP="00BD7F5E">
      <w:pPr>
        <w:spacing w:after="45" w:line="325" w:lineRule="atLeast"/>
        <w:jc w:val="both"/>
        <w:outlineLvl w:val="2"/>
        <w:rPr>
          <w:rFonts w:ascii="Arial" w:eastAsia="Times New Roman" w:hAnsi="Arial" w:cs="Arial"/>
          <w:color w:val="0F62A4"/>
          <w:sz w:val="24"/>
          <w:szCs w:val="24"/>
          <w:lang w:val="fr-BE" w:eastAsia="nl-NL"/>
        </w:rPr>
      </w:pPr>
    </w:p>
    <w:p w:rsidR="006F4863" w:rsidRDefault="006F4863" w:rsidP="00BD7F5E">
      <w:pPr>
        <w:spacing w:after="45" w:line="325" w:lineRule="atLeast"/>
        <w:jc w:val="both"/>
        <w:outlineLvl w:val="2"/>
        <w:rPr>
          <w:rFonts w:ascii="Arial" w:eastAsia="Times New Roman" w:hAnsi="Arial" w:cs="Arial"/>
          <w:color w:val="0F62A4"/>
          <w:sz w:val="24"/>
          <w:szCs w:val="24"/>
          <w:lang w:val="fr-BE" w:eastAsia="nl-NL"/>
        </w:rPr>
      </w:pPr>
      <w:r>
        <w:rPr>
          <w:rFonts w:ascii="Arial" w:eastAsia="Times New Roman" w:hAnsi="Arial" w:cs="Arial"/>
          <w:noProof/>
          <w:color w:val="0F62A4"/>
          <w:sz w:val="24"/>
          <w:szCs w:val="24"/>
          <w:lang w:eastAsia="nl-BE"/>
        </w:rPr>
        <w:drawing>
          <wp:inline distT="0" distB="0" distL="0" distR="0" wp14:anchorId="5420FBDD" wp14:editId="106B3DE8">
            <wp:extent cx="804845" cy="5562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863" w:rsidRDefault="006F4863" w:rsidP="00BD7F5E">
      <w:pPr>
        <w:spacing w:after="45" w:line="325" w:lineRule="atLeast"/>
        <w:jc w:val="both"/>
        <w:outlineLvl w:val="2"/>
        <w:rPr>
          <w:rFonts w:ascii="Arial" w:eastAsia="Times New Roman" w:hAnsi="Arial" w:cs="Arial"/>
          <w:color w:val="0F62A4"/>
          <w:sz w:val="24"/>
          <w:szCs w:val="24"/>
          <w:lang w:val="fr-BE" w:eastAsia="nl-NL"/>
        </w:rPr>
      </w:pPr>
    </w:p>
    <w:p w:rsidR="00BD7F5E" w:rsidRPr="0003788F" w:rsidRDefault="00BD7F5E" w:rsidP="00BD7F5E">
      <w:pPr>
        <w:spacing w:after="45" w:line="325" w:lineRule="atLeast"/>
        <w:jc w:val="both"/>
        <w:outlineLvl w:val="2"/>
        <w:rPr>
          <w:rFonts w:ascii="Arial" w:hAnsi="Arial" w:cs="Arial"/>
          <w:color w:val="083D94"/>
          <w:sz w:val="24"/>
          <w:szCs w:val="24"/>
          <w:lang w:val="fr-BE"/>
        </w:rPr>
      </w:pPr>
      <w:r w:rsidRPr="0003788F">
        <w:rPr>
          <w:rFonts w:ascii="Arial" w:eastAsia="Times New Roman" w:hAnsi="Arial" w:cs="Arial"/>
          <w:color w:val="0F62A4"/>
          <w:sz w:val="24"/>
          <w:szCs w:val="24"/>
          <w:lang w:val="fr-BE" w:eastAsia="nl-NL"/>
        </w:rPr>
        <w:t xml:space="preserve">Modification art. 30bis - Check in at </w:t>
      </w:r>
      <w:proofErr w:type="spellStart"/>
      <w:r w:rsidRPr="0003788F">
        <w:rPr>
          <w:rFonts w:ascii="Arial" w:eastAsia="Times New Roman" w:hAnsi="Arial" w:cs="Arial"/>
          <w:color w:val="0F62A4"/>
          <w:sz w:val="24"/>
          <w:szCs w:val="24"/>
          <w:lang w:val="fr-BE" w:eastAsia="nl-NL"/>
        </w:rPr>
        <w:t>work</w:t>
      </w:r>
      <w:proofErr w:type="spellEnd"/>
      <w:r w:rsidRPr="0003788F">
        <w:rPr>
          <w:rFonts w:ascii="Arial" w:eastAsia="Times New Roman" w:hAnsi="Arial" w:cs="Arial"/>
          <w:color w:val="0F62A4"/>
          <w:sz w:val="24"/>
          <w:szCs w:val="24"/>
          <w:lang w:val="fr-BE" w:eastAsia="nl-NL"/>
        </w:rPr>
        <w:t xml:space="preserve"> – enregistrement de </w:t>
      </w:r>
      <w:r w:rsidR="00F94A53">
        <w:rPr>
          <w:rFonts w:ascii="Arial" w:eastAsia="Times New Roman" w:hAnsi="Arial" w:cs="Arial"/>
          <w:color w:val="0F62A4"/>
          <w:sz w:val="24"/>
          <w:szCs w:val="24"/>
          <w:lang w:val="fr-BE" w:eastAsia="nl-NL"/>
        </w:rPr>
        <w:t>la présence</w:t>
      </w:r>
    </w:p>
    <w:p w:rsidR="00BD7F5E" w:rsidRPr="0003788F" w:rsidRDefault="00BD7F5E">
      <w:pPr>
        <w:rPr>
          <w:rFonts w:ascii="Arial" w:hAnsi="Arial" w:cs="Arial"/>
          <w:sz w:val="20"/>
          <w:szCs w:val="20"/>
          <w:lang w:val="fr-BE"/>
        </w:rPr>
      </w:pPr>
      <w:r w:rsidRPr="0003788F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810A10" w:rsidRDefault="00810A10" w:rsidP="00BD7F5E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</w:t>
      </w:r>
      <w:r w:rsidRPr="0003788F">
        <w:rPr>
          <w:rFonts w:ascii="Arial" w:hAnsi="Arial" w:cs="Arial"/>
          <w:sz w:val="20"/>
          <w:szCs w:val="20"/>
          <w:lang w:val="fr-BE"/>
        </w:rPr>
        <w:t>a Chambre des Représenta</w:t>
      </w:r>
      <w:r>
        <w:rPr>
          <w:rFonts w:ascii="Arial" w:hAnsi="Arial" w:cs="Arial"/>
          <w:sz w:val="20"/>
          <w:szCs w:val="20"/>
          <w:lang w:val="fr-BE"/>
        </w:rPr>
        <w:t xml:space="preserve">nts a récemment approuvé </w:t>
      </w:r>
      <w:r w:rsidRPr="0003788F">
        <w:rPr>
          <w:rFonts w:ascii="Arial" w:hAnsi="Arial" w:cs="Arial"/>
          <w:sz w:val="20"/>
          <w:szCs w:val="20"/>
          <w:lang w:val="fr-BE"/>
        </w:rPr>
        <w:t>la modification</w:t>
      </w:r>
      <w:r w:rsidR="00CE7891">
        <w:rPr>
          <w:rFonts w:ascii="Arial" w:hAnsi="Arial" w:cs="Arial"/>
          <w:sz w:val="20"/>
          <w:szCs w:val="20"/>
          <w:lang w:val="fr-BE"/>
        </w:rPr>
        <w:t xml:space="preserve"> de loi relative à</w:t>
      </w:r>
      <w:r w:rsidRPr="0003788F">
        <w:rPr>
          <w:rFonts w:ascii="Arial" w:hAnsi="Arial" w:cs="Arial"/>
          <w:sz w:val="20"/>
          <w:szCs w:val="20"/>
          <w:lang w:val="fr-BE"/>
        </w:rPr>
        <w:t xml:space="preserve"> l’article 30bis </w:t>
      </w:r>
      <w:r>
        <w:rPr>
          <w:rFonts w:ascii="Arial" w:hAnsi="Arial" w:cs="Arial"/>
          <w:sz w:val="20"/>
          <w:szCs w:val="20"/>
          <w:lang w:val="fr-BE"/>
        </w:rPr>
        <w:t xml:space="preserve">(loi du 27 juin 1969) et présentée pour signature au </w:t>
      </w:r>
      <w:r w:rsidR="0042707F">
        <w:rPr>
          <w:rFonts w:ascii="Arial" w:hAnsi="Arial" w:cs="Arial"/>
          <w:sz w:val="20"/>
          <w:szCs w:val="20"/>
          <w:lang w:val="fr-BE"/>
        </w:rPr>
        <w:t>Roi</w:t>
      </w:r>
      <w:r>
        <w:rPr>
          <w:rFonts w:ascii="Arial" w:hAnsi="Arial" w:cs="Arial"/>
          <w:sz w:val="20"/>
          <w:szCs w:val="20"/>
          <w:lang w:val="fr-BE"/>
        </w:rPr>
        <w:t>. L</w:t>
      </w:r>
      <w:r w:rsidRPr="0003788F">
        <w:rPr>
          <w:rFonts w:ascii="Arial" w:hAnsi="Arial" w:cs="Arial"/>
          <w:sz w:val="20"/>
          <w:szCs w:val="20"/>
          <w:lang w:val="fr-BE"/>
        </w:rPr>
        <w:t>’article 30bis</w:t>
      </w:r>
      <w:r>
        <w:rPr>
          <w:rFonts w:ascii="Arial" w:hAnsi="Arial" w:cs="Arial"/>
          <w:sz w:val="20"/>
          <w:szCs w:val="20"/>
          <w:lang w:val="fr-BE"/>
        </w:rPr>
        <w:t xml:space="preserve"> concerne les travaux en état immobilier et détermine quels travaux sont visés par le champs d’application de la commission paritaire 124 (Construction). Dès à présent la livraison de béton avec un camion malaxeur fait aussi partie de cet article en ce qui concerne les </w:t>
      </w:r>
      <w:r w:rsidRPr="0003788F">
        <w:rPr>
          <w:rFonts w:ascii="Arial" w:hAnsi="Arial" w:cs="Arial"/>
          <w:sz w:val="20"/>
          <w:szCs w:val="20"/>
          <w:lang w:val="fr-BE"/>
        </w:rPr>
        <w:t xml:space="preserve">dispositions </w:t>
      </w:r>
      <w:r>
        <w:rPr>
          <w:rFonts w:ascii="Arial" w:hAnsi="Arial" w:cs="Arial"/>
          <w:sz w:val="20"/>
          <w:szCs w:val="20"/>
          <w:lang w:val="fr-BE"/>
        </w:rPr>
        <w:t>sociales. Il n’y a pas de changements pour l’aspect fiscal.</w:t>
      </w:r>
    </w:p>
    <w:p w:rsidR="00810A10" w:rsidRDefault="00810A10" w:rsidP="00BD7F5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10A10" w:rsidRDefault="00810A10" w:rsidP="00BD7F5E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Ceci implique que le client entrepreneur est obligé de notifier au préalable à l’ONSS son fournisseur de béton et ses sous-entrepreneurs (pompes et camions malaxeur) éventuels (notification obligatoire du chantier pour des projets dépassant les 5.000 €) et que le fournisseur de béton doit enregistrer </w:t>
      </w:r>
      <w:r w:rsidR="0042707F">
        <w:rPr>
          <w:rFonts w:ascii="Arial" w:hAnsi="Arial" w:cs="Arial"/>
          <w:sz w:val="20"/>
          <w:szCs w:val="20"/>
          <w:lang w:val="fr-BE"/>
        </w:rPr>
        <w:t xml:space="preserve">au préalable </w:t>
      </w:r>
      <w:r>
        <w:rPr>
          <w:rFonts w:ascii="Arial" w:hAnsi="Arial" w:cs="Arial"/>
          <w:sz w:val="20"/>
          <w:szCs w:val="20"/>
          <w:lang w:val="fr-BE"/>
        </w:rPr>
        <w:t xml:space="preserve">les chauffeurs de camion malaxeur </w:t>
      </w:r>
      <w:r w:rsidR="0095008C">
        <w:rPr>
          <w:rFonts w:ascii="Arial" w:hAnsi="Arial" w:cs="Arial"/>
          <w:sz w:val="20"/>
          <w:szCs w:val="20"/>
          <w:lang w:val="fr-BE"/>
        </w:rPr>
        <w:t xml:space="preserve">au site </w:t>
      </w:r>
      <w:proofErr w:type="spellStart"/>
      <w:r w:rsidR="0095008C">
        <w:rPr>
          <w:rFonts w:ascii="Arial" w:hAnsi="Arial" w:cs="Arial"/>
          <w:sz w:val="20"/>
          <w:szCs w:val="20"/>
          <w:lang w:val="fr-BE"/>
        </w:rPr>
        <w:t>check-in@work</w:t>
      </w:r>
      <w:proofErr w:type="spellEnd"/>
      <w:r w:rsidR="0095008C">
        <w:rPr>
          <w:rFonts w:ascii="Arial" w:hAnsi="Arial" w:cs="Arial"/>
          <w:sz w:val="20"/>
          <w:szCs w:val="20"/>
          <w:lang w:val="fr-BE"/>
        </w:rPr>
        <w:t xml:space="preserve"> pour les projets de construction dépassant les 500.000 €, comme cela se fait déjà actuellement pour les pompes à béton.</w:t>
      </w:r>
    </w:p>
    <w:p w:rsidR="0095008C" w:rsidRDefault="0095008C" w:rsidP="00BD7F5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E7891" w:rsidRDefault="0095008C" w:rsidP="00BD7F5E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Nous </w:t>
      </w:r>
      <w:r w:rsidR="00CE7891">
        <w:rPr>
          <w:rFonts w:ascii="Arial" w:hAnsi="Arial" w:cs="Arial"/>
          <w:sz w:val="20"/>
          <w:szCs w:val="20"/>
          <w:lang w:val="fr-BE"/>
        </w:rPr>
        <w:t>attirons une fois de plus l</w:t>
      </w:r>
      <w:r w:rsidRPr="0003788F">
        <w:rPr>
          <w:rFonts w:ascii="Arial" w:hAnsi="Arial" w:cs="Arial"/>
          <w:sz w:val="20"/>
          <w:szCs w:val="20"/>
          <w:lang w:val="fr-BE"/>
        </w:rPr>
        <w:t>’a</w:t>
      </w:r>
      <w:r w:rsidR="00CE7891">
        <w:rPr>
          <w:rFonts w:ascii="Arial" w:hAnsi="Arial" w:cs="Arial"/>
          <w:sz w:val="20"/>
          <w:szCs w:val="20"/>
          <w:lang w:val="fr-BE"/>
        </w:rPr>
        <w:t xml:space="preserve">ttention sur le fait qu’un contrat pour la livraison de béton et son pompage reste </w:t>
      </w:r>
      <w:r w:rsidR="0042707F">
        <w:rPr>
          <w:rFonts w:ascii="Arial" w:hAnsi="Arial" w:cs="Arial"/>
          <w:sz w:val="20"/>
          <w:szCs w:val="20"/>
          <w:lang w:val="fr-BE"/>
        </w:rPr>
        <w:t xml:space="preserve">toujours </w:t>
      </w:r>
      <w:r w:rsidR="00CE7891">
        <w:rPr>
          <w:rFonts w:ascii="Arial" w:hAnsi="Arial" w:cs="Arial"/>
          <w:sz w:val="20"/>
          <w:szCs w:val="20"/>
          <w:lang w:val="fr-BE"/>
        </w:rPr>
        <w:t>un contrat de livraison et ne devient pas un contrat d</w:t>
      </w:r>
      <w:r w:rsidR="0042707F">
        <w:rPr>
          <w:rFonts w:ascii="Arial" w:hAnsi="Arial" w:cs="Arial"/>
          <w:sz w:val="20"/>
          <w:szCs w:val="20"/>
          <w:lang w:val="fr-BE"/>
        </w:rPr>
        <w:t>’</w:t>
      </w:r>
      <w:r w:rsidR="00CE7891">
        <w:rPr>
          <w:rFonts w:ascii="Arial" w:hAnsi="Arial" w:cs="Arial"/>
          <w:sz w:val="20"/>
          <w:szCs w:val="20"/>
          <w:lang w:val="fr-BE"/>
        </w:rPr>
        <w:t>e</w:t>
      </w:r>
      <w:r w:rsidR="0042707F">
        <w:rPr>
          <w:rFonts w:ascii="Arial" w:hAnsi="Arial" w:cs="Arial"/>
          <w:sz w:val="20"/>
          <w:szCs w:val="20"/>
          <w:lang w:val="fr-BE"/>
        </w:rPr>
        <w:t xml:space="preserve">ntrepreneur; </w:t>
      </w:r>
      <w:r w:rsidR="00CE7891">
        <w:rPr>
          <w:rFonts w:ascii="Arial" w:hAnsi="Arial" w:cs="Arial"/>
          <w:sz w:val="20"/>
          <w:szCs w:val="20"/>
          <w:lang w:val="fr-BE"/>
        </w:rPr>
        <w:t>ceci conformément la loi civile.</w:t>
      </w:r>
      <w:bookmarkStart w:id="0" w:name="_GoBack"/>
      <w:bookmarkEnd w:id="0"/>
    </w:p>
    <w:p w:rsidR="00CE7891" w:rsidRDefault="00CE7891" w:rsidP="00BD7F5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EA1471" w:rsidRPr="0003788F" w:rsidRDefault="00EA1471" w:rsidP="00BD7F5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03788F">
        <w:rPr>
          <w:rFonts w:ascii="Arial" w:hAnsi="Arial" w:cs="Arial"/>
          <w:sz w:val="20"/>
          <w:szCs w:val="20"/>
          <w:lang w:val="fr-BE"/>
        </w:rPr>
        <w:t xml:space="preserve">Si </w:t>
      </w:r>
      <w:r w:rsidR="00CE7891">
        <w:rPr>
          <w:rFonts w:ascii="Arial" w:hAnsi="Arial" w:cs="Arial"/>
          <w:sz w:val="20"/>
          <w:szCs w:val="20"/>
          <w:lang w:val="fr-BE"/>
        </w:rPr>
        <w:t xml:space="preserve">la publication du texte de cette modification de loi </w:t>
      </w:r>
      <w:r w:rsidRPr="0003788F">
        <w:rPr>
          <w:rFonts w:ascii="Arial" w:hAnsi="Arial" w:cs="Arial"/>
          <w:sz w:val="20"/>
          <w:szCs w:val="20"/>
          <w:lang w:val="fr-BE"/>
        </w:rPr>
        <w:t xml:space="preserve">se fait encore </w:t>
      </w:r>
      <w:r w:rsidR="00CE7891">
        <w:rPr>
          <w:rFonts w:ascii="Arial" w:hAnsi="Arial" w:cs="Arial"/>
          <w:sz w:val="20"/>
          <w:szCs w:val="20"/>
          <w:lang w:val="fr-BE"/>
        </w:rPr>
        <w:t xml:space="preserve">cette année, </w:t>
      </w:r>
      <w:r w:rsidRPr="0003788F">
        <w:rPr>
          <w:rFonts w:ascii="Arial" w:hAnsi="Arial" w:cs="Arial"/>
          <w:sz w:val="20"/>
          <w:szCs w:val="20"/>
          <w:lang w:val="fr-BE"/>
        </w:rPr>
        <w:t>les dispositions entrent en vigueur à partir du 1ier janvier 2019</w:t>
      </w:r>
      <w:r w:rsidR="000E0CE7">
        <w:rPr>
          <w:rFonts w:ascii="Arial" w:hAnsi="Arial" w:cs="Arial"/>
          <w:sz w:val="20"/>
          <w:szCs w:val="20"/>
          <w:lang w:val="fr-BE"/>
        </w:rPr>
        <w:t>.</w:t>
      </w:r>
    </w:p>
    <w:p w:rsidR="00BD7F5E" w:rsidRPr="0003788F" w:rsidRDefault="00BD7F5E" w:rsidP="00BD7F5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BD7F5E" w:rsidRPr="0003788F" w:rsidRDefault="00BD7F5E" w:rsidP="00BD7F5E">
      <w:pPr>
        <w:rPr>
          <w:rFonts w:ascii="Arial" w:hAnsi="Arial" w:cs="Arial"/>
          <w:color w:val="1F497D"/>
          <w:sz w:val="20"/>
          <w:szCs w:val="20"/>
          <w:lang w:val="fr-BE"/>
        </w:rPr>
      </w:pPr>
      <w:r w:rsidRPr="0003788F">
        <w:rPr>
          <w:rFonts w:ascii="Arial" w:hAnsi="Arial" w:cs="Arial"/>
          <w:sz w:val="20"/>
          <w:szCs w:val="20"/>
          <w:lang w:val="fr-BE"/>
        </w:rPr>
        <w:t>Li</w:t>
      </w:r>
      <w:r w:rsidR="00EA1471" w:rsidRPr="0003788F">
        <w:rPr>
          <w:rFonts w:ascii="Arial" w:hAnsi="Arial" w:cs="Arial"/>
          <w:sz w:val="20"/>
          <w:szCs w:val="20"/>
          <w:lang w:val="fr-BE"/>
        </w:rPr>
        <w:t>e</w:t>
      </w:r>
      <w:r w:rsidRPr="0003788F">
        <w:rPr>
          <w:rFonts w:ascii="Arial" w:hAnsi="Arial" w:cs="Arial"/>
          <w:sz w:val="20"/>
          <w:szCs w:val="20"/>
          <w:lang w:val="fr-BE"/>
        </w:rPr>
        <w:t xml:space="preserve">n </w:t>
      </w:r>
      <w:r w:rsidR="00EA1471" w:rsidRPr="0003788F">
        <w:rPr>
          <w:rFonts w:ascii="Arial" w:hAnsi="Arial" w:cs="Arial"/>
          <w:sz w:val="20"/>
          <w:szCs w:val="20"/>
          <w:lang w:val="fr-BE"/>
        </w:rPr>
        <w:t xml:space="preserve">vers le texte approuvé </w:t>
      </w:r>
      <w:r w:rsidRPr="0003788F">
        <w:rPr>
          <w:rFonts w:ascii="Arial" w:hAnsi="Arial" w:cs="Arial"/>
          <w:sz w:val="20"/>
          <w:szCs w:val="20"/>
          <w:lang w:val="fr-BE"/>
        </w:rPr>
        <w:t xml:space="preserve">: </w:t>
      </w:r>
    </w:p>
    <w:p w:rsidR="00BD7F5E" w:rsidRPr="0003788F" w:rsidRDefault="0042707F" w:rsidP="00BD7F5E">
      <w:pPr>
        <w:rPr>
          <w:rFonts w:ascii="Arial" w:hAnsi="Arial" w:cs="Arial"/>
          <w:color w:val="1F497D"/>
          <w:sz w:val="20"/>
          <w:szCs w:val="20"/>
          <w:lang w:val="fr-BE"/>
        </w:rPr>
      </w:pPr>
      <w:hyperlink r:id="rId6" w:history="1">
        <w:r w:rsidR="00BD7F5E" w:rsidRPr="0003788F">
          <w:rPr>
            <w:rStyle w:val="Hyperlink"/>
            <w:rFonts w:ascii="Arial" w:hAnsi="Arial" w:cs="Arial"/>
            <w:sz w:val="20"/>
            <w:szCs w:val="20"/>
            <w:lang w:val="fr-BE"/>
          </w:rPr>
          <w:t>http://www.dekamer.be/FLWB/PDF/54/3355/54K3355004.pdf</w:t>
        </w:r>
      </w:hyperlink>
    </w:p>
    <w:p w:rsidR="00BD7F5E" w:rsidRPr="0003788F" w:rsidRDefault="00BD7F5E" w:rsidP="00BD7F5E">
      <w:pPr>
        <w:rPr>
          <w:rFonts w:ascii="Arial" w:hAnsi="Arial" w:cs="Arial"/>
          <w:color w:val="1F497D"/>
          <w:sz w:val="20"/>
          <w:szCs w:val="20"/>
          <w:lang w:val="fr-BE"/>
        </w:rPr>
      </w:pPr>
    </w:p>
    <w:p w:rsidR="00BD7F5E" w:rsidRPr="0003788F" w:rsidRDefault="00BD7F5E" w:rsidP="00BD7F5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03788F">
        <w:rPr>
          <w:rFonts w:ascii="Arial" w:hAnsi="Arial" w:cs="Arial"/>
          <w:sz w:val="20"/>
          <w:szCs w:val="20"/>
          <w:lang w:val="fr-BE"/>
        </w:rPr>
        <w:t>(</w:t>
      </w:r>
      <w:r w:rsidR="00EA1471" w:rsidRPr="0003788F">
        <w:rPr>
          <w:rFonts w:ascii="Arial" w:hAnsi="Arial" w:cs="Arial"/>
          <w:sz w:val="20"/>
          <w:szCs w:val="20"/>
          <w:lang w:val="fr-BE"/>
        </w:rPr>
        <w:t xml:space="preserve">voir les </w:t>
      </w:r>
      <w:r w:rsidRPr="0003788F">
        <w:rPr>
          <w:rFonts w:ascii="Arial" w:hAnsi="Arial" w:cs="Arial"/>
          <w:sz w:val="20"/>
          <w:szCs w:val="20"/>
          <w:lang w:val="fr-BE"/>
        </w:rPr>
        <w:t>arti</w:t>
      </w:r>
      <w:r w:rsidR="00EA1471" w:rsidRPr="0003788F">
        <w:rPr>
          <w:rFonts w:ascii="Arial" w:hAnsi="Arial" w:cs="Arial"/>
          <w:sz w:val="20"/>
          <w:szCs w:val="20"/>
          <w:lang w:val="fr-BE"/>
        </w:rPr>
        <w:t>c</w:t>
      </w:r>
      <w:r w:rsidRPr="0003788F">
        <w:rPr>
          <w:rFonts w:ascii="Arial" w:hAnsi="Arial" w:cs="Arial"/>
          <w:sz w:val="20"/>
          <w:szCs w:val="20"/>
          <w:lang w:val="fr-BE"/>
        </w:rPr>
        <w:t>le</w:t>
      </w:r>
      <w:r w:rsidR="00EA1471" w:rsidRPr="0003788F">
        <w:rPr>
          <w:rFonts w:ascii="Arial" w:hAnsi="Arial" w:cs="Arial"/>
          <w:sz w:val="20"/>
          <w:szCs w:val="20"/>
          <w:lang w:val="fr-BE"/>
        </w:rPr>
        <w:t xml:space="preserve">s </w:t>
      </w:r>
      <w:r w:rsidRPr="0003788F">
        <w:rPr>
          <w:rFonts w:ascii="Arial" w:hAnsi="Arial" w:cs="Arial"/>
          <w:sz w:val="20"/>
          <w:szCs w:val="20"/>
          <w:lang w:val="fr-BE"/>
        </w:rPr>
        <w:t>45 e</w:t>
      </w:r>
      <w:r w:rsidR="00EA1471" w:rsidRPr="0003788F">
        <w:rPr>
          <w:rFonts w:ascii="Arial" w:hAnsi="Arial" w:cs="Arial"/>
          <w:sz w:val="20"/>
          <w:szCs w:val="20"/>
          <w:lang w:val="fr-BE"/>
        </w:rPr>
        <w:t>t</w:t>
      </w:r>
      <w:r w:rsidRPr="0003788F">
        <w:rPr>
          <w:rFonts w:ascii="Arial" w:hAnsi="Arial" w:cs="Arial"/>
          <w:sz w:val="20"/>
          <w:szCs w:val="20"/>
          <w:lang w:val="fr-BE"/>
        </w:rPr>
        <w:t xml:space="preserve"> 74 </w:t>
      </w:r>
      <w:r w:rsidR="00EA1471" w:rsidRPr="0003788F">
        <w:rPr>
          <w:rFonts w:ascii="Arial" w:hAnsi="Arial" w:cs="Arial"/>
          <w:sz w:val="20"/>
          <w:szCs w:val="20"/>
          <w:lang w:val="fr-BE"/>
        </w:rPr>
        <w:t>pour le changement de l’</w:t>
      </w:r>
      <w:r w:rsidRPr="0003788F">
        <w:rPr>
          <w:rFonts w:ascii="Arial" w:hAnsi="Arial" w:cs="Arial"/>
          <w:sz w:val="20"/>
          <w:szCs w:val="20"/>
          <w:lang w:val="fr-BE"/>
        </w:rPr>
        <w:t>art.30 bis e</w:t>
      </w:r>
      <w:r w:rsidR="00EA1471" w:rsidRPr="0003788F">
        <w:rPr>
          <w:rFonts w:ascii="Arial" w:hAnsi="Arial" w:cs="Arial"/>
          <w:sz w:val="20"/>
          <w:szCs w:val="20"/>
          <w:lang w:val="fr-BE"/>
        </w:rPr>
        <w:t>t les dispositions fiscales par rapport à la livraison du béton prêt à l’emploi</w:t>
      </w:r>
      <w:r w:rsidRPr="0003788F">
        <w:rPr>
          <w:rFonts w:ascii="Arial" w:hAnsi="Arial" w:cs="Arial"/>
          <w:sz w:val="20"/>
          <w:szCs w:val="20"/>
          <w:lang w:val="fr-BE"/>
        </w:rPr>
        <w:t>).</w:t>
      </w:r>
    </w:p>
    <w:p w:rsidR="00BD7F5E" w:rsidRPr="0003788F" w:rsidRDefault="00BD7F5E" w:rsidP="00BD7F5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BD7F5E" w:rsidRPr="0003788F" w:rsidRDefault="00EA1471" w:rsidP="00BD7F5E">
      <w:pPr>
        <w:rPr>
          <w:rFonts w:ascii="Arial" w:hAnsi="Arial" w:cs="Arial"/>
          <w:sz w:val="20"/>
          <w:szCs w:val="20"/>
          <w:u w:val="single"/>
          <w:lang w:val="fr-BE"/>
        </w:rPr>
      </w:pPr>
      <w:r w:rsidRPr="0003788F">
        <w:rPr>
          <w:rFonts w:ascii="Arial" w:hAnsi="Arial" w:cs="Arial"/>
          <w:sz w:val="20"/>
          <w:szCs w:val="20"/>
          <w:u w:val="single"/>
          <w:lang w:val="fr-BE"/>
        </w:rPr>
        <w:t>Autres liens utiles</w:t>
      </w:r>
      <w:r w:rsidR="00BD7F5E" w:rsidRPr="0003788F">
        <w:rPr>
          <w:rFonts w:ascii="Arial" w:hAnsi="Arial" w:cs="Arial"/>
          <w:sz w:val="20"/>
          <w:szCs w:val="20"/>
          <w:u w:val="single"/>
          <w:lang w:val="fr-BE"/>
        </w:rPr>
        <w:t xml:space="preserve"> : </w:t>
      </w:r>
    </w:p>
    <w:p w:rsidR="00BD7F5E" w:rsidRPr="0003788F" w:rsidRDefault="0042707F">
      <w:pPr>
        <w:rPr>
          <w:rFonts w:ascii="Arial" w:hAnsi="Arial" w:cs="Arial"/>
          <w:sz w:val="20"/>
          <w:szCs w:val="20"/>
          <w:lang w:val="fr-BE"/>
        </w:rPr>
      </w:pPr>
      <w:hyperlink r:id="rId7" w:history="1">
        <w:r w:rsidR="00BD7F5E" w:rsidRPr="0003788F">
          <w:rPr>
            <w:rStyle w:val="Hyperlink"/>
            <w:rFonts w:ascii="Arial" w:hAnsi="Arial" w:cs="Arial"/>
            <w:sz w:val="20"/>
            <w:szCs w:val="20"/>
            <w:lang w:val="fr-BE"/>
          </w:rPr>
          <w:t>https://www.socialsecurity.be/site_fr/employer/applics/checkinatwork/index.htm</w:t>
        </w:r>
      </w:hyperlink>
    </w:p>
    <w:p w:rsidR="00BD7F5E" w:rsidRPr="0003788F" w:rsidRDefault="0042707F">
      <w:pPr>
        <w:rPr>
          <w:rFonts w:ascii="Arial" w:hAnsi="Arial" w:cs="Arial"/>
          <w:sz w:val="20"/>
          <w:szCs w:val="20"/>
          <w:lang w:val="fr-BE"/>
        </w:rPr>
      </w:pPr>
      <w:hyperlink r:id="rId8" w:history="1">
        <w:r w:rsidR="00BD7F5E" w:rsidRPr="0003788F">
          <w:rPr>
            <w:rStyle w:val="Hyperlink"/>
            <w:rFonts w:ascii="Arial" w:hAnsi="Arial" w:cs="Arial"/>
            <w:sz w:val="20"/>
            <w:szCs w:val="20"/>
            <w:lang w:val="fr-BE"/>
          </w:rPr>
          <w:t>https://www.socialsecurity.be/site_fr/employer/applics/ddt/general/declaration_bis.htm</w:t>
        </w:r>
      </w:hyperlink>
    </w:p>
    <w:p w:rsidR="00BD7F5E" w:rsidRPr="0003788F" w:rsidRDefault="0042707F">
      <w:pPr>
        <w:rPr>
          <w:rFonts w:ascii="Arial" w:hAnsi="Arial" w:cs="Arial"/>
          <w:sz w:val="20"/>
          <w:szCs w:val="20"/>
          <w:lang w:val="fr-BE"/>
        </w:rPr>
      </w:pPr>
      <w:hyperlink r:id="rId9" w:history="1">
        <w:r w:rsidR="00BD7F5E" w:rsidRPr="0003788F">
          <w:rPr>
            <w:rStyle w:val="Hyperlink"/>
            <w:rFonts w:ascii="Arial" w:hAnsi="Arial" w:cs="Arial"/>
            <w:sz w:val="20"/>
            <w:szCs w:val="20"/>
            <w:lang w:val="fr-BE"/>
          </w:rPr>
          <w:t>https://www.socialsecurity.be/site_fr/employer/applics/ddt/documents/pdf/Avis_aux_entrepreneurs_et_commettants_F.pdf</w:t>
        </w:r>
      </w:hyperlink>
    </w:p>
    <w:p w:rsidR="00BD7F5E" w:rsidRPr="0003788F" w:rsidRDefault="00BD7F5E">
      <w:pPr>
        <w:rPr>
          <w:rFonts w:ascii="Arial" w:hAnsi="Arial" w:cs="Arial"/>
          <w:sz w:val="20"/>
          <w:szCs w:val="20"/>
          <w:lang w:val="fr-BE"/>
        </w:rPr>
      </w:pPr>
    </w:p>
    <w:sectPr w:rsidR="00BD7F5E" w:rsidRPr="0003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5F"/>
    <w:rsid w:val="0003788F"/>
    <w:rsid w:val="00085088"/>
    <w:rsid w:val="000A72D4"/>
    <w:rsid w:val="000B7A0C"/>
    <w:rsid w:val="000E0CE7"/>
    <w:rsid w:val="002A395F"/>
    <w:rsid w:val="0042707F"/>
    <w:rsid w:val="00681FF3"/>
    <w:rsid w:val="006F4863"/>
    <w:rsid w:val="007F2F54"/>
    <w:rsid w:val="00810A10"/>
    <w:rsid w:val="0095008C"/>
    <w:rsid w:val="00BD7F5E"/>
    <w:rsid w:val="00CE7891"/>
    <w:rsid w:val="00DB39B4"/>
    <w:rsid w:val="00EA1471"/>
    <w:rsid w:val="00F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95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395F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95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8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95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395F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95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8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ecurity.be/site_fr/employer/applics/ddt/general/declaration_b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cialsecurity.be/site_fr/employer/applics/checkinatwork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kamer.be/FLWB/PDF/54/3355/54K3355004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cialsecurity.be/site_fr/employer/applics/ddt/documents/pdf/Avis_aux_entrepreneurs_et_commettants_F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Servaes</dc:creator>
  <cp:lastModifiedBy>Theo Servaes</cp:lastModifiedBy>
  <cp:revision>5</cp:revision>
  <cp:lastPrinted>2018-11-29T13:10:00Z</cp:lastPrinted>
  <dcterms:created xsi:type="dcterms:W3CDTF">2018-11-29T09:03:00Z</dcterms:created>
  <dcterms:modified xsi:type="dcterms:W3CDTF">2018-12-03T13:42:00Z</dcterms:modified>
</cp:coreProperties>
</file>